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0458E5" w:rsidRDefault="000458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A21EC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0458E5" w:rsidRDefault="000458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A21EC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0458E5" w:rsidRDefault="00A21EC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0458E5" w:rsidRDefault="000458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458E5">
        <w:tc>
          <w:tcPr>
            <w:tcW w:w="8494" w:type="dxa"/>
          </w:tcPr>
          <w:p w:rsidR="000458E5" w:rsidRDefault="00A21EC3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II A e B</w:t>
            </w:r>
          </w:p>
        </w:tc>
      </w:tr>
      <w:tr w:rsidR="000458E5">
        <w:tc>
          <w:tcPr>
            <w:tcW w:w="8494" w:type="dxa"/>
          </w:tcPr>
          <w:p w:rsidR="000458E5" w:rsidRDefault="00A21E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Brincar de empilhar potes diversos da cozinha da mamãe;</w:t>
            </w:r>
          </w:p>
          <w:p w:rsidR="000458E5" w:rsidRDefault="00A21E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Achando a tampa certa, potes de um lado, tampas do outro, a criança tem que achar a tampa certa que fecha o pote.</w:t>
            </w:r>
          </w:p>
        </w:tc>
      </w:tr>
    </w:tbl>
    <w:p w:rsidR="000458E5" w:rsidRDefault="000458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A21E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 as atividades/experiências. São experiências de aprendizagens que poderão ser repetidas durante o período. De</w:t>
      </w:r>
      <w:r w:rsidR="00591B07">
        <w:rPr>
          <w:rFonts w:ascii="Times New Roman" w:eastAsia="Times New Roman" w:hAnsi="Times New Roman" w:cs="Times New Roman"/>
          <w:sz w:val="24"/>
          <w:szCs w:val="24"/>
        </w:rPr>
        <w:t>ixar a criança brincar sozinha,</w:t>
      </w:r>
      <w:bookmarkStart w:id="1" w:name="_GoBack"/>
      <w:bookmarkEnd w:id="1"/>
    </w:p>
    <w:sectPr w:rsidR="000458E5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591B07"/>
    <w:rsid w:val="00A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2176"/>
  <w15:docId w15:val="{4B15878C-1F81-40ED-9863-CEA7A224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2020-04-13T16:31:00Z</dcterms:created>
  <dcterms:modified xsi:type="dcterms:W3CDTF">2020-04-13T16:37:00Z</dcterms:modified>
</cp:coreProperties>
</file>